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EE8F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Referans Stili ve Formatı</w:t>
      </w:r>
    </w:p>
    <w:p w14:paraId="193D9E65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Kaynakların doğruluğundan ve eksikliğinden yazar(lar) sorumludur. Tüm kaynak gösterimler metin içi ve kaynakçada belirtilmelidir. Kaynaklar aşağıdaki örneklerdeki gibi gösterilmelidir.</w:t>
      </w:r>
    </w:p>
    <w:p w14:paraId="6BF2563D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E3624A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Metin İçinde Kaynak Gösterme</w:t>
      </w:r>
    </w:p>
    <w:p w14:paraId="103E7BBD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Kaynaklar metinde parantez içinde yazarların soyadı, yayın tarihi ve sayfa numarası yazılarak belirtilmelidir.</w:t>
      </w:r>
    </w:p>
    <w:p w14:paraId="481DC6BE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Birden fazla kaynak gösterilmesi durumunda kaynaklar arasında noktalı virgül (;) kullanılmalıdır. </w:t>
      </w:r>
    </w:p>
    <w:p w14:paraId="395E52FF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A2D0A8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Tek yazarlı kaynak:</w:t>
      </w:r>
    </w:p>
    <w:p w14:paraId="6B2BBCEE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(Koyuncu, 2015)</w:t>
      </w:r>
    </w:p>
    <w:p w14:paraId="07FBF911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8EA55D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İki yazarlı kaynak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14:paraId="436AD6B9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(Bayezit ve Kemikli 2011, s. 72)</w:t>
      </w:r>
    </w:p>
    <w:p w14:paraId="74BC4D4C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EE517F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B95CC4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Üç, dört ve beş yazarlı kaynak:</w:t>
      </w:r>
    </w:p>
    <w:p w14:paraId="752886C5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Metin içinde ilk kullanımda: (Bölükbaş, Aslan ve Özenç 2011, s. 56-59)</w:t>
      </w:r>
    </w:p>
    <w:p w14:paraId="2EC71CEB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Metin içindeki tekrarlayan kullanımlarda: (Bölükbaş ve ark., 2011)</w:t>
      </w:r>
    </w:p>
    <w:p w14:paraId="27AD25D6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913AA4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Altı ve daha çok yazarlı kaynak:</w:t>
      </w:r>
    </w:p>
    <w:p w14:paraId="36836C63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(Öztürk ve ark., 2000)</w:t>
      </w:r>
    </w:p>
    <w:p w14:paraId="6AE1DE64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1D86A7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Birden daha fazla kaynak:</w:t>
      </w:r>
    </w:p>
    <w:p w14:paraId="65C3BD43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(Can, 1983; Çetin, 2003)</w:t>
      </w:r>
    </w:p>
    <w:p w14:paraId="21409247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386697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Kaynakça Bölümünde Kaynak Gösterme</w:t>
      </w:r>
    </w:p>
    <w:p w14:paraId="1FC47C8F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Çalışmada kullanılan tüm kaynaklar metnin sonunda yer alacak olan kaynakça bölümünde yazar soyadlarına göre alfabetik olarak verilmelidir. Kaynakların doğruluğundan ve eksikliğinden yazar(lar) sorumludur.</w:t>
      </w:r>
    </w:p>
    <w:p w14:paraId="4FEB3B49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Kaynak yazımı ile ilgili örnekler aşağıda verilmiştir. Farklı bir kaynak eklenmesi durumunda Apa 6 kaynak gösterimine uygun olarak eklenmelidir. </w:t>
      </w:r>
    </w:p>
    <w:p w14:paraId="0E4E4859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Ünal, R. (2009).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İlerleyen Türkçem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. İstanbul: Dilmer Yayınları.</w:t>
      </w:r>
    </w:p>
    <w:p w14:paraId="6C3A363A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3F3C3E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Türkçeye Çevrilmiş Kitap:</w:t>
      </w:r>
    </w:p>
    <w:p w14:paraId="64F6E306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Grönbech, K. (1992).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Kuman lehçesi sözlüğü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(K. Aytaç, Çev.) Ankara: Kültür Bakanlığı Yayınları.</w:t>
      </w:r>
    </w:p>
    <w:p w14:paraId="6E704879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994E5A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Editörlü Kitap:</w:t>
      </w:r>
    </w:p>
    <w:p w14:paraId="685FD166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Kirişçioğlu, F. (Ed.). (2010).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Yabancılar için Türkçe yeterlik sınavları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. Ankara: Gazi Üniversitesi TÖMER Yayını.</w:t>
      </w:r>
    </w:p>
    <w:p w14:paraId="3EF115D0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DEABA6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Çok Yazarlı Türkçe Kitap:</w:t>
      </w:r>
    </w:p>
    <w:p w14:paraId="166BC60A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Göz, K., Dökmeci, H., Güler, A. ve Özer, M. Ş. (2020).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Ak başat Türkçe A1-A2.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Karaman: Karamanoğlu Mehmetbey Üniversitesi Yayınları.</w:t>
      </w:r>
    </w:p>
    <w:p w14:paraId="3F993317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49E1CD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İngilizce Kitap:</w:t>
      </w:r>
    </w:p>
    <w:p w14:paraId="74687D9D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Holderman, J. B. D. (2010).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Grammarie turque, ou methode courte et facile pour apprendre la langue turque (1730)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. United States: Kessinger Publishing.</w:t>
      </w:r>
    </w:p>
    <w:p w14:paraId="67A7F1E2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F76310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İngilizce Kitap İçerisinde Bölüm:</w:t>
      </w:r>
    </w:p>
    <w:p w14:paraId="1DA02F3C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Bassett, C. (2006). Cultural studies and new media. In G. Hall &amp; C. Birchall (Eds.), New cultural studies: Adventures in theory (pp. 220–237). Edinburgh, UK: Edinburgh University Press.</w:t>
      </w:r>
    </w:p>
    <w:p w14:paraId="2540E325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56CDD2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Türkçe Kitap İçerisinde Bölüm:</w:t>
      </w:r>
    </w:p>
    <w:p w14:paraId="2E22C0CA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Erkmen, T. (2012). Örgüt kültürü: Fonksiyonları, öğeleri, işletme yönetimi ve liderlikteki önemi. M. Zencirkıran (Ed.),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Örgüt sosyolojisi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kitabı içinde (s. 233–263). Bursa: Dora Basım Yayın.</w:t>
      </w:r>
    </w:p>
    <w:p w14:paraId="064AD483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C751DE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Yayımcının ve Yazarın Kurum Olduğu Yayın:</w:t>
      </w:r>
    </w:p>
    <w:p w14:paraId="1C9CBF44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Türk Dil Kurumu. (2008).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Yazım kılavuzu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. Ankara: Türk Dil Kurumu Yayınları.</w:t>
      </w:r>
    </w:p>
    <w:p w14:paraId="446252DE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11ED36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DOI’si Olmayan Online Edinilmiş Makale: </w:t>
      </w:r>
    </w:p>
    <w:p w14:paraId="49C5ECEF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Al, U. ve Doğan, G. (2012). Hacettepe Üniversitesi Bilgi ve Belge Yönetimi Bölümü tezlerinin atıf analizi. Türk Kütüphaneciliği, 26, 349–369. Erişim adresi: http://www.tk.org.tr/</w:t>
      </w:r>
    </w:p>
    <w:p w14:paraId="491F6F21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F72AD1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DOI’si Olan Makale: </w:t>
      </w:r>
    </w:p>
    <w:p w14:paraId="06326800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Gür, T., Coşkun, İ. ve Sağlam, F. (2013). İlkokul 2, 3 ve 4. sınıf Türkçe ders kitapları bütüncesinin kelime hazinesini geliştirme eğitimi açısından incelenmesi.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Turkish Studies International Periodical For The Languages, Literature and History of Turkish or Turkic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8(1), 1561-1570. </w:t>
      </w:r>
      <w:hyperlink r:id="rId4" w:history="1">
        <w:r w:rsidRPr="002A0293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http://dx.doi.org/10.7827/TurkishStudies.4356</w:t>
        </w:r>
      </w:hyperlink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6CC73D5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84962E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Tez:</w:t>
      </w:r>
    </w:p>
    <w:p w14:paraId="058260D2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Adıgüzel, M. S. (1999). Herbert Jansky’nin ana dili Almanca olanlara Türkçe öğretim metodu. (Yayımlanmamış Doktora Tezi). Gazi Üniversitesi Sosyal Bilimler Enstitüsü, Ankara. 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cr/>
      </w:r>
    </w:p>
    <w:p w14:paraId="75C9005F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Bildiri:</w:t>
      </w:r>
    </w:p>
    <w:p w14:paraId="3B204388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Göçer, A. (2008). Türkçenin yabancı dil olarak öğretiminde kullanılan ders kitaplarının ölçme ve değerlendirme açısından incelenmesi. Türkiye’de Yabancı Dil Eğitimi Ulusal Kongresi’nde sunulan bildiri, Gazi Üniversitesi, Ankara. </w:t>
      </w:r>
    </w:p>
    <w:p w14:paraId="5FCB9E88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8DB75A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Gazete Yazısı:</w:t>
      </w:r>
    </w:p>
    <w:p w14:paraId="54BFB968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Yılmaz, A. (2015, 18 Mart). Sovyetlerde umut. Cumhuriyet, s. 18.</w:t>
      </w:r>
    </w:p>
    <w:p w14:paraId="5A38B015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C805A5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8D79FC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Dipnotlar</w:t>
      </w:r>
    </w:p>
    <w:p w14:paraId="758D99BA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Dipnot, sadece yapılması zorunlu açıklamalar için kullanılmalıdır. “DİPNOT” komutuyla otomatik olarak verilmelidir. Buradaki atıflar da parantez içinde yazarın soyadı, eserin yayım yılı ve sayfa numarası gelecek şekilde düzenlenmelidir. Örnek: (Baş, 2015, s. 18)</w:t>
      </w:r>
    </w:p>
    <w:p w14:paraId="544F64F6" w14:textId="77777777" w:rsidR="00862C99" w:rsidRPr="002A0293" w:rsidRDefault="00862C99" w:rsidP="00862C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Alıntılar</w:t>
      </w:r>
    </w:p>
    <w:p w14:paraId="04E11CE5" w14:textId="77777777" w:rsidR="00862C99" w:rsidRPr="002A0293" w:rsidRDefault="00862C99" w:rsidP="00862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Makalede birebir yapılan alıntılar “tırnak içinde” verilmeli ve alıntının sonunda kaynağı parantez içinde belirtilmelidir. Beş satırdan/kırk kelimeden az alıntılar cümle arasında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italik olarak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beş satırdan/kırk kelimeden uzun alıntılar ise sayfanın sağından ve solundan 1 cm içeride, blok hâlinde </w:t>
      </w:r>
      <w:r w:rsidRPr="002A02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italik </w:t>
      </w:r>
      <w:r w:rsidRPr="002A0293">
        <w:rPr>
          <w:rFonts w:ascii="Times New Roman" w:hAnsi="Times New Roman" w:cs="Times New Roman"/>
          <w:sz w:val="24"/>
          <w:szCs w:val="24"/>
          <w:shd w:val="clear" w:color="auto" w:fill="FFFFFF"/>
        </w:rPr>
        <w:t>olarak verilmelidir. Birebir olmayan alıntıların sonunda sadece parantez içerisinde kaynak gösterilmelidir.</w:t>
      </w:r>
    </w:p>
    <w:p w14:paraId="12B694BD" w14:textId="77777777" w:rsidR="00862C99" w:rsidRDefault="00862C99"/>
    <w:sectPr w:rsidR="00862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99"/>
    <w:rsid w:val="0086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AD87"/>
  <w15:chartTrackingRefBased/>
  <w15:docId w15:val="{542C8747-9386-4131-A398-51C81C8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2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7827/TurkishStudies.435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2021-12-25T16:26:00Z</dcterms:created>
  <dcterms:modified xsi:type="dcterms:W3CDTF">2021-12-25T16:27:00Z</dcterms:modified>
</cp:coreProperties>
</file>